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0DC" w:rsidRDefault="00DA4B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3318087</wp:posOffset>
                </wp:positionV>
                <wp:extent cx="6874933" cy="54525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933" cy="5452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AD" w:rsidRPr="000335B5" w:rsidRDefault="00DA4BAD" w:rsidP="00DA4B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335B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The Professional Development Network was created and shaped by direct feedback from PreK-12 Classified and Certificated members. The goal is to help you easily find and register for clock-hour trainings in high-demand subjects such as:</w:t>
                            </w:r>
                          </w:p>
                          <w:p w:rsidR="00DA4BAD" w:rsidRDefault="00DA4BAD" w:rsidP="00DA4B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6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Closing the Achievement and Opportunity Gaps</w:t>
                              </w:r>
                            </w:hyperlink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7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Teacher Evaluation</w:t>
                              </w:r>
                            </w:hyperlink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8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State Learning Standards</w:t>
                              </w:r>
                            </w:hyperlink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9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Certification: Home Stretch and Jump Start</w:t>
                              </w:r>
                            </w:hyperlink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10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Special Education</w:t>
                              </w:r>
                            </w:hyperlink>
                          </w:p>
                          <w:p w:rsidR="00DA4BAD" w:rsidRPr="000335B5" w:rsidRDefault="003E7FAB" w:rsidP="00DA4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  <w:hyperlink r:id="rId11" w:tgtFrame="_self" w:history="1">
                              <w:r w:rsidR="00DA4BAD" w:rsidRPr="000335B5">
                                <w:rPr>
                                  <w:rFonts w:ascii="Arial" w:eastAsia="Times New Roman" w:hAnsi="Arial" w:cs="Arial"/>
                                  <w:b/>
                                  <w:color w:val="943634" w:themeColor="accent2" w:themeShade="BF"/>
                                  <w:sz w:val="32"/>
                                  <w:szCs w:val="24"/>
                                  <w:u w:val="single"/>
                                </w:rPr>
                                <w:t>Advocacy and Organizing</w:t>
                              </w:r>
                            </w:hyperlink>
                          </w:p>
                          <w:p w:rsidR="00DA4BAD" w:rsidRPr="00DA4BAD" w:rsidRDefault="00DA4BAD" w:rsidP="00DA4B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 w:rsidRPr="000335B5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Visit </w:t>
                            </w:r>
                            <w:hyperlink r:id="rId12" w:history="1">
                              <w:r w:rsidRPr="000335B5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32"/>
                                </w:rPr>
                                <w:t>www.washingtonea.org/pd/</w:t>
                              </w:r>
                            </w:hyperlink>
                            <w:r w:rsidRPr="000335B5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261.25pt;width:541.35pt;height:4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" fillcolor="white [3201]" stroked="f" strokeweight=".5pt">
                <v:textbox>
                  <w:txbxContent>
                    <w:p w:rsidR="00DA4BAD" w:rsidRPr="000335B5" w:rsidRDefault="00DA4BAD" w:rsidP="00DA4B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335B5">
                        <w:rPr>
                          <w:rFonts w:ascii="Arial" w:hAnsi="Arial" w:cs="Arial"/>
                          <w:b/>
                          <w:sz w:val="32"/>
                        </w:rPr>
                        <w:t>The Professional Development Network was created and shaped by direct feedback from PreK-12 Classified and Certificated members. The goal is to help you easily find and register for clock-hour tr</w:t>
                      </w:r>
                      <w:r w:rsidRPr="000335B5">
                        <w:rPr>
                          <w:rFonts w:ascii="Arial" w:hAnsi="Arial" w:cs="Arial"/>
                          <w:b/>
                          <w:sz w:val="32"/>
                        </w:rPr>
                        <w:t>ainings in high-demand subjects such as:</w:t>
                      </w:r>
                    </w:p>
                    <w:p w:rsidR="00DA4BAD" w:rsidRDefault="00DA4BAD" w:rsidP="00DA4BA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3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Closing the Achievement and Opportunity Gaps</w:t>
                        </w:r>
                      </w:hyperlink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4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Teacher Evaluation</w:t>
                        </w:r>
                      </w:hyperlink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5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State Learning Standards</w:t>
                        </w:r>
                      </w:hyperlink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6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Certification: Home Stretch and Jump Start</w:t>
                        </w:r>
                      </w:hyperlink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7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Special Education</w:t>
                        </w:r>
                      </w:hyperlink>
                    </w:p>
                    <w:p w:rsidR="00DA4BAD" w:rsidRPr="000335B5" w:rsidRDefault="00DA4BAD" w:rsidP="00DA4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  <w:hyperlink r:id="rId18" w:tgtFrame="_self" w:history="1">
                        <w:r w:rsidRPr="000335B5">
                          <w:rPr>
                            <w:rFonts w:ascii="Arial" w:eastAsia="Times New Roman" w:hAnsi="Arial" w:cs="Arial"/>
                            <w:b/>
                            <w:color w:val="943634" w:themeColor="accent2" w:themeShade="BF"/>
                            <w:sz w:val="32"/>
                            <w:szCs w:val="24"/>
                            <w:u w:val="single"/>
                          </w:rPr>
                          <w:t>Advocacy and Organizing</w:t>
                        </w:r>
                      </w:hyperlink>
                    </w:p>
                    <w:p w:rsidR="00DA4BAD" w:rsidRPr="00DA4BAD" w:rsidRDefault="00DA4BAD" w:rsidP="00DA4BA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 w:rsidRPr="000335B5">
                        <w:rPr>
                          <w:rFonts w:ascii="Arial" w:hAnsi="Arial" w:cs="Arial"/>
                          <w:i/>
                          <w:sz w:val="32"/>
                        </w:rPr>
                        <w:t xml:space="preserve">Visit </w:t>
                      </w:r>
                      <w:hyperlink r:id="rId19" w:history="1">
                        <w:r w:rsidRPr="000335B5">
                          <w:rPr>
                            <w:rStyle w:val="Hyperlink"/>
                            <w:rFonts w:ascii="Arial" w:hAnsi="Arial" w:cs="Arial"/>
                            <w:i/>
                            <w:sz w:val="32"/>
                          </w:rPr>
                          <w:t>www.washingtonea.org/pd/</w:t>
                        </w:r>
                      </w:hyperlink>
                      <w:r w:rsidRPr="000335B5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335B5">
                        <w:rPr>
                          <w:rFonts w:ascii="Arial" w:hAnsi="Arial" w:cs="Arial"/>
                          <w:i/>
                          <w:sz w:val="32"/>
                        </w:rPr>
                        <w:t>for more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583988</wp:posOffset>
            </wp:positionH>
            <wp:positionV relativeFrom="paragraph">
              <wp:posOffset>-152400</wp:posOffset>
            </wp:positionV>
            <wp:extent cx="4293262" cy="2743200"/>
            <wp:effectExtent l="95250" t="95250" r="88265" b="95250"/>
            <wp:wrapNone/>
            <wp:docPr id="1" name="Picture 1" descr="https://www.washingtonea.org/files/library/pdn-type-logo-clear-1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shingtonea.org/files/library/pdn-type-logo-clear-1_l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7" t="15041" r="9865" b="10028"/>
                    <a:stretch/>
                  </pic:blipFill>
                  <pic:spPr bwMode="auto">
                    <a:xfrm>
                      <a:off x="0" y="0"/>
                      <a:ext cx="4293262" cy="27432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705"/>
    <w:multiLevelType w:val="multilevel"/>
    <w:tmpl w:val="2F1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203E6"/>
    <w:multiLevelType w:val="hybridMultilevel"/>
    <w:tmpl w:val="5A46B9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AD"/>
    <w:rsid w:val="000335B5"/>
    <w:rsid w:val="003E7FAB"/>
    <w:rsid w:val="00CD10DC"/>
    <w:rsid w:val="00D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ea.org/learning-standards/" TargetMode="External"/><Relationship Id="rId13" Type="http://schemas.openxmlformats.org/officeDocument/2006/relationships/hyperlink" Target="https://www.washingtonea.org/closing-gaps/" TargetMode="External"/><Relationship Id="rId18" Type="http://schemas.openxmlformats.org/officeDocument/2006/relationships/hyperlink" Target="https://www.washingtonea.org/advocacy-organiz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washingtonea.org/teacher-evaluation/" TargetMode="External"/><Relationship Id="rId12" Type="http://schemas.openxmlformats.org/officeDocument/2006/relationships/hyperlink" Target="http://www.washingtonea.org/pd/" TargetMode="External"/><Relationship Id="rId17" Type="http://schemas.openxmlformats.org/officeDocument/2006/relationships/hyperlink" Target="https://www.washingtonea.org/training-special-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ea.org/certification-licensure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washingtonea.org/closing-gaps/" TargetMode="External"/><Relationship Id="rId11" Type="http://schemas.openxmlformats.org/officeDocument/2006/relationships/hyperlink" Target="https://www.washingtonea.org/advocacy-organiz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shingtonea.org/learning-standards/" TargetMode="External"/><Relationship Id="rId10" Type="http://schemas.openxmlformats.org/officeDocument/2006/relationships/hyperlink" Target="https://www.washingtonea.org/training-special-education/" TargetMode="External"/><Relationship Id="rId19" Type="http://schemas.openxmlformats.org/officeDocument/2006/relationships/hyperlink" Target="http://www.washingtonea.org/p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hingtonea.org/certification-licensure/" TargetMode="External"/><Relationship Id="rId14" Type="http://schemas.openxmlformats.org/officeDocument/2006/relationships/hyperlink" Target="https://www.washingtonea.org/teacher-evalu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Olinger [WA]</dc:creator>
  <cp:lastModifiedBy>Lora Olinger [WA]</cp:lastModifiedBy>
  <cp:revision>2</cp:revision>
  <cp:lastPrinted>2016-04-04T22:53:00Z</cp:lastPrinted>
  <dcterms:created xsi:type="dcterms:W3CDTF">2016-04-05T21:25:00Z</dcterms:created>
  <dcterms:modified xsi:type="dcterms:W3CDTF">2016-04-05T21:25:00Z</dcterms:modified>
</cp:coreProperties>
</file>